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B93" w:rsidRDefault="00B76B93" w:rsidP="00B76B93">
      <w:r>
        <w:rPr>
          <w:rFonts w:ascii="DINPro-Bold" w:hAnsi="DINPro-Bold"/>
          <w:b/>
        </w:rPr>
        <w:t>Цель.</w:t>
      </w:r>
      <w:r>
        <w:rPr>
          <w:rFonts w:ascii="DINPro-Bold" w:hAnsi="DINPro-Bold"/>
          <w:b/>
          <w:spacing w:val="-6"/>
        </w:rPr>
        <w:t xml:space="preserve"> </w:t>
      </w:r>
      <w:r>
        <w:t>Оценить</w:t>
      </w:r>
      <w:r>
        <w:rPr>
          <w:spacing w:val="-7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перманентной</w:t>
      </w:r>
      <w:r>
        <w:rPr>
          <w:spacing w:val="-7"/>
        </w:rPr>
        <w:t xml:space="preserve"> </w:t>
      </w:r>
      <w:r>
        <w:t>ФП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хронической</w:t>
      </w:r>
      <w:r>
        <w:rPr>
          <w:spacing w:val="-7"/>
        </w:rPr>
        <w:t xml:space="preserve"> </w:t>
      </w:r>
      <w:r>
        <w:t>сердечной</w:t>
      </w:r>
      <w:r>
        <w:rPr>
          <w:spacing w:val="-7"/>
        </w:rPr>
        <w:t xml:space="preserve"> </w:t>
      </w:r>
      <w:r>
        <w:t>недостаточности</w:t>
      </w:r>
      <w:r>
        <w:rPr>
          <w:spacing w:val="-6"/>
        </w:rPr>
        <w:t xml:space="preserve"> </w:t>
      </w:r>
      <w:r>
        <w:t>(ХСН)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исследуемых с хронической ревматической болезнью сердца</w:t>
      </w:r>
      <w:r>
        <w:rPr>
          <w:spacing w:val="-2"/>
        </w:rPr>
        <w:t xml:space="preserve"> </w:t>
      </w:r>
      <w:r>
        <w:t>(ХРБС).</w:t>
      </w:r>
    </w:p>
    <w:p w:rsidR="00B76B93" w:rsidRDefault="00B76B93" w:rsidP="00B76B93">
      <w:r>
        <w:rPr>
          <w:rFonts w:ascii="DINPro-Bold" w:hAnsi="DINPro-Bold"/>
          <w:b/>
        </w:rPr>
        <w:t>Материалы</w:t>
      </w:r>
      <w:r>
        <w:rPr>
          <w:rFonts w:ascii="DINPro-Bold" w:hAnsi="DINPro-Bold"/>
          <w:b/>
          <w:spacing w:val="-3"/>
        </w:rPr>
        <w:t xml:space="preserve"> </w:t>
      </w:r>
      <w:r>
        <w:rPr>
          <w:rFonts w:ascii="DINPro-Bold" w:hAnsi="DINPro-Bold"/>
          <w:b/>
        </w:rPr>
        <w:t>и</w:t>
      </w:r>
      <w:r>
        <w:rPr>
          <w:rFonts w:ascii="DINPro-Bold" w:hAnsi="DINPro-Bold"/>
          <w:b/>
          <w:spacing w:val="-2"/>
        </w:rPr>
        <w:t xml:space="preserve"> </w:t>
      </w:r>
      <w:r>
        <w:rPr>
          <w:rFonts w:ascii="DINPro-Bold" w:hAnsi="DINPro-Bold"/>
          <w:b/>
        </w:rPr>
        <w:t>методы.</w:t>
      </w:r>
      <w:r>
        <w:rPr>
          <w:rFonts w:ascii="DINPro-Bold" w:hAnsi="DINPro-Bold"/>
          <w:b/>
          <w:spacing w:val="-2"/>
        </w:rPr>
        <w:t xml:space="preserve"> </w:t>
      </w:r>
      <w:r>
        <w:t>Обследовано</w:t>
      </w:r>
      <w:r>
        <w:rPr>
          <w:spacing w:val="-2"/>
        </w:rPr>
        <w:t xml:space="preserve"> </w:t>
      </w:r>
      <w:r>
        <w:t>167</w:t>
      </w:r>
      <w:r>
        <w:rPr>
          <w:spacing w:val="-2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ХРБС:</w:t>
      </w:r>
      <w:r>
        <w:rPr>
          <w:spacing w:val="-3"/>
        </w:rPr>
        <w:t xml:space="preserve"> </w:t>
      </w:r>
      <w:r>
        <w:t>84</w:t>
      </w:r>
      <w:r>
        <w:rPr>
          <w:spacing w:val="-2"/>
        </w:rPr>
        <w:t xml:space="preserve"> </w:t>
      </w:r>
      <w:r>
        <w:t>(50,3</w:t>
      </w:r>
      <w:r>
        <w:rPr>
          <w:spacing w:val="-22"/>
        </w:rPr>
        <w:t xml:space="preserve"> </w:t>
      </w:r>
      <w:r>
        <w:t>%)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фибрилляцией</w:t>
      </w:r>
      <w:r>
        <w:rPr>
          <w:spacing w:val="-2"/>
        </w:rPr>
        <w:t xml:space="preserve"> </w:t>
      </w:r>
      <w:r>
        <w:t>предсердий</w:t>
      </w:r>
      <w:r>
        <w:rPr>
          <w:spacing w:val="-2"/>
        </w:rPr>
        <w:t xml:space="preserve"> </w:t>
      </w:r>
      <w:r>
        <w:t>(ФП),</w:t>
      </w:r>
      <w:r>
        <w:rPr>
          <w:spacing w:val="-3"/>
        </w:rPr>
        <w:t xml:space="preserve"> </w:t>
      </w:r>
      <w:r>
        <w:t>83</w:t>
      </w:r>
      <w:r>
        <w:rPr>
          <w:spacing w:val="-2"/>
        </w:rPr>
        <w:t xml:space="preserve"> </w:t>
      </w:r>
      <w:r>
        <w:t>(49,7</w:t>
      </w:r>
      <w:r>
        <w:rPr>
          <w:spacing w:val="-21"/>
        </w:rPr>
        <w:t xml:space="preserve"> </w:t>
      </w:r>
      <w:r>
        <w:t>%)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синусовым ритмом</w:t>
      </w:r>
      <w:r>
        <w:rPr>
          <w:spacing w:val="1"/>
        </w:rPr>
        <w:t xml:space="preserve"> </w:t>
      </w:r>
      <w:r>
        <w:t>(СР).</w:t>
      </w:r>
      <w:r>
        <w:rPr>
          <w:spacing w:val="1"/>
        </w:rPr>
        <w:t xml:space="preserve"> </w:t>
      </w:r>
      <w:r>
        <w:rPr>
          <w:spacing w:val="-3"/>
        </w:rPr>
        <w:t>Группы</w:t>
      </w:r>
      <w:r>
        <w:rPr>
          <w:spacing w:val="1"/>
        </w:rPr>
        <w:t xml:space="preserve"> </w:t>
      </w:r>
      <w:r>
        <w:t>различались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rPr>
          <w:spacing w:val="5"/>
        </w:rPr>
        <w:t>(р=</w:t>
      </w:r>
      <w:r>
        <w:rPr>
          <w:spacing w:val="-29"/>
        </w:rPr>
        <w:t xml:space="preserve"> </w:t>
      </w:r>
      <w:r>
        <w:t>0,001):</w:t>
      </w:r>
      <w:r>
        <w:rPr>
          <w:spacing w:val="1"/>
        </w:rPr>
        <w:t xml:space="preserve"> </w:t>
      </w:r>
      <w:r>
        <w:t>55,89</w:t>
      </w:r>
      <w:r>
        <w:rPr>
          <w:spacing w:val="-28"/>
        </w:rPr>
        <w:t xml:space="preserve"> </w:t>
      </w:r>
      <w:r>
        <w:t>±</w:t>
      </w:r>
      <w:r>
        <w:rPr>
          <w:spacing w:val="-28"/>
        </w:rPr>
        <w:t xml:space="preserve"> </w:t>
      </w:r>
      <w:r>
        <w:t>0,79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(СР) и</w:t>
      </w:r>
      <w:r>
        <w:rPr>
          <w:spacing w:val="1"/>
        </w:rPr>
        <w:t xml:space="preserve"> </w:t>
      </w:r>
      <w:r>
        <w:t>61,48</w:t>
      </w:r>
      <w:r>
        <w:rPr>
          <w:spacing w:val="-28"/>
        </w:rPr>
        <w:t xml:space="preserve"> </w:t>
      </w:r>
      <w:r>
        <w:t>±</w:t>
      </w:r>
      <w:r>
        <w:rPr>
          <w:spacing w:val="-28"/>
        </w:rPr>
        <w:t xml:space="preserve"> </w:t>
      </w:r>
      <w:r>
        <w:t>0,081</w:t>
      </w:r>
      <w:r>
        <w:rPr>
          <w:spacing w:val="1"/>
        </w:rPr>
        <w:t xml:space="preserve"> </w:t>
      </w:r>
      <w:r>
        <w:t>лет (ФП).</w:t>
      </w:r>
      <w:r>
        <w:rPr>
          <w:spacing w:val="1"/>
        </w:rPr>
        <w:t xml:space="preserve"> </w:t>
      </w:r>
      <w:r>
        <w:t>Наблюдение проводилось в течение 5-ти лет. Эхокардиография (Эхо-КГ) пациентам выполнялась на аппарате Philips Affinity 50, су</w:t>
      </w:r>
      <w:bookmarkStart w:id="0" w:name="_GoBack"/>
      <w:bookmarkEnd w:id="0"/>
      <w:r>
        <w:t xml:space="preserve">точное мониторирование ЭКГ на мониторе «Кардиотехника-04–3Р </w:t>
      </w:r>
      <w:r>
        <w:rPr>
          <w:spacing w:val="-3"/>
        </w:rPr>
        <w:t xml:space="preserve">(М)», </w:t>
      </w:r>
      <w:r>
        <w:t xml:space="preserve">спирометрия на Spirolab II. Для оценки </w:t>
      </w:r>
      <w:r>
        <w:rPr>
          <w:spacing w:val="-3"/>
        </w:rPr>
        <w:t>качества</w:t>
      </w:r>
      <w:r>
        <w:rPr>
          <w:spacing w:val="36"/>
        </w:rPr>
        <w:t xml:space="preserve"> </w:t>
      </w:r>
      <w:r>
        <w:t>жизни использовались SF-36, KCCQ,</w:t>
      </w:r>
      <w:r>
        <w:rPr>
          <w:spacing w:val="-1"/>
        </w:rPr>
        <w:t xml:space="preserve"> </w:t>
      </w:r>
      <w:r>
        <w:t>MHFLQ.</w:t>
      </w:r>
    </w:p>
    <w:p w:rsidR="00B76B93" w:rsidRDefault="00B76B93" w:rsidP="00B76B93">
      <w:r>
        <w:rPr>
          <w:rFonts w:ascii="DINPro-Bold" w:hAnsi="DINPro-Bold"/>
          <w:b/>
        </w:rPr>
        <w:t>Результаты.</w:t>
      </w:r>
      <w:r>
        <w:rPr>
          <w:rFonts w:ascii="DINPro-Bold" w:hAnsi="DINPro-Bold"/>
          <w:b/>
          <w:spacing w:val="-7"/>
        </w:rPr>
        <w:t xml:space="preserve"> </w:t>
      </w:r>
      <w:r>
        <w:t>Исследуемые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ФП</w:t>
      </w:r>
      <w:r>
        <w:rPr>
          <w:spacing w:val="-7"/>
        </w:rPr>
        <w:t xml:space="preserve"> </w:t>
      </w:r>
      <w:r>
        <w:t>исходно</w:t>
      </w:r>
      <w:r>
        <w:rPr>
          <w:spacing w:val="-7"/>
        </w:rPr>
        <w:t xml:space="preserve"> </w:t>
      </w:r>
      <w:r>
        <w:t>имели</w:t>
      </w:r>
      <w:r>
        <w:rPr>
          <w:spacing w:val="-6"/>
        </w:rPr>
        <w:t xml:space="preserve"> </w:t>
      </w:r>
      <w:r>
        <w:t>меньшую</w:t>
      </w:r>
      <w:r>
        <w:rPr>
          <w:spacing w:val="-7"/>
        </w:rPr>
        <w:t xml:space="preserve"> </w:t>
      </w:r>
      <w:r>
        <w:t>SMo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0,22</w:t>
      </w:r>
      <w:r>
        <w:rPr>
          <w:spacing w:val="-7"/>
        </w:rPr>
        <w:t xml:space="preserve"> </w:t>
      </w:r>
      <w:r>
        <w:t>см</w:t>
      </w:r>
      <w:r>
        <w:rPr>
          <w:position w:val="6"/>
          <w:sz w:val="10"/>
        </w:rPr>
        <w:t>2</w:t>
      </w:r>
      <w:r>
        <w:t>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меньшую</w:t>
      </w:r>
      <w:r>
        <w:rPr>
          <w:spacing w:val="-7"/>
        </w:rPr>
        <w:t xml:space="preserve"> </w:t>
      </w:r>
      <w:r>
        <w:t>дистанции</w:t>
      </w:r>
      <w:r>
        <w:rPr>
          <w:spacing w:val="-6"/>
        </w:rPr>
        <w:t xml:space="preserve"> </w:t>
      </w:r>
      <w:r>
        <w:t>теста</w:t>
      </w:r>
      <w:r>
        <w:rPr>
          <w:spacing w:val="-7"/>
        </w:rPr>
        <w:t xml:space="preserve"> </w:t>
      </w:r>
      <w:r>
        <w:t>6-минутной</w:t>
      </w:r>
      <w:r>
        <w:rPr>
          <w:spacing w:val="-7"/>
        </w:rPr>
        <w:t xml:space="preserve"> </w:t>
      </w:r>
      <w:r>
        <w:t xml:space="preserve">ходьбы (на 31,11 метра) в сравнении с пациентами с </w:t>
      </w:r>
      <w:r>
        <w:rPr>
          <w:spacing w:val="-7"/>
        </w:rPr>
        <w:t xml:space="preserve">СР. </w:t>
      </w:r>
      <w:r>
        <w:t>По показателям Эхо-КГ в группе с ФП были большие линейные размеры предсердий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правого</w:t>
      </w:r>
      <w:r>
        <w:rPr>
          <w:spacing w:val="-3"/>
        </w:rPr>
        <w:t xml:space="preserve"> </w:t>
      </w:r>
      <w:r>
        <w:t>желудочка,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давление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трикуспидальном</w:t>
      </w:r>
      <w:r>
        <w:rPr>
          <w:spacing w:val="-2"/>
        </w:rPr>
        <w:t xml:space="preserve"> </w:t>
      </w:r>
      <w:r>
        <w:t>клапане</w:t>
      </w:r>
      <w:r>
        <w:rPr>
          <w:spacing w:val="-3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выше.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спирометрии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обструк- тивные, и рестриктивные в группе с ФП были ниже, чем в группе с СР: Форсированная жизненная емкость легких</w:t>
      </w:r>
      <w:r>
        <w:rPr>
          <w:spacing w:val="-27"/>
        </w:rPr>
        <w:t xml:space="preserve"> </w:t>
      </w:r>
      <w:r>
        <w:t>(ФЖЕЛ) на 11,35 %, объем форсированного выхода за 1 секунду (ОФВ1) на 11,35 %, ЖЕЛ на 22,9 %. Показатели качества жизни по опросникам</w:t>
      </w:r>
      <w:r>
        <w:rPr>
          <w:spacing w:val="-7"/>
        </w:rPr>
        <w:t xml:space="preserve"> </w:t>
      </w:r>
      <w:r>
        <w:t>KCCQ,</w:t>
      </w:r>
      <w:r>
        <w:rPr>
          <w:spacing w:val="-7"/>
        </w:rPr>
        <w:t xml:space="preserve"> </w:t>
      </w:r>
      <w:r>
        <w:t>SF-36,</w:t>
      </w:r>
      <w:r>
        <w:rPr>
          <w:spacing w:val="-7"/>
        </w:rPr>
        <w:t xml:space="preserve"> </w:t>
      </w:r>
      <w:r>
        <w:t>MHFLQ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различались.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исследуемых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СР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динамике показателей </w:t>
      </w:r>
      <w:r>
        <w:rPr>
          <w:spacing w:val="-3"/>
        </w:rPr>
        <w:t xml:space="preserve">Эхо-КГ, </w:t>
      </w:r>
      <w:r>
        <w:t>спирометрии и качестве жизни. В группе с ФП за 5 лет наблюдения уменьшилась SMo на 0,18 см</w:t>
      </w:r>
      <w:r>
        <w:rPr>
          <w:position w:val="6"/>
          <w:sz w:val="10"/>
        </w:rPr>
        <w:t>2</w:t>
      </w:r>
      <w:r>
        <w:t>, вырос</w:t>
      </w:r>
      <w:r>
        <w:rPr>
          <w:spacing w:val="-3"/>
        </w:rPr>
        <w:t xml:space="preserve"> </w:t>
      </w:r>
      <w:r>
        <w:t>конечно-систолических</w:t>
      </w:r>
      <w:r>
        <w:rPr>
          <w:spacing w:val="-3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левого</w:t>
      </w:r>
      <w:r>
        <w:rPr>
          <w:spacing w:val="-3"/>
        </w:rPr>
        <w:t xml:space="preserve"> </w:t>
      </w:r>
      <w:r>
        <w:t>желудочка</w:t>
      </w:r>
      <w:r>
        <w:rPr>
          <w:spacing w:val="-3"/>
        </w:rPr>
        <w:t xml:space="preserve"> </w:t>
      </w:r>
      <w:r>
        <w:t>(КСР</w:t>
      </w:r>
      <w:r>
        <w:rPr>
          <w:spacing w:val="-3"/>
        </w:rPr>
        <w:t xml:space="preserve"> </w:t>
      </w:r>
      <w:r>
        <w:t>ЛЖ)</w:t>
      </w:r>
      <w:r>
        <w:rPr>
          <w:spacing w:val="-23"/>
        </w:rPr>
        <w:t xml:space="preserve"> </w:t>
      </w:r>
      <w:r>
        <w:t>—</w:t>
      </w:r>
      <w:r>
        <w:rPr>
          <w:spacing w:val="-2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0,19</w:t>
      </w:r>
      <w:r>
        <w:rPr>
          <w:spacing w:val="-3"/>
        </w:rPr>
        <w:t xml:space="preserve"> </w:t>
      </w:r>
      <w:r>
        <w:t>см,</w:t>
      </w:r>
      <w:r>
        <w:rPr>
          <w:spacing w:val="-3"/>
        </w:rPr>
        <w:t xml:space="preserve"> </w:t>
      </w:r>
      <w:r>
        <w:t>правый</w:t>
      </w:r>
      <w:r>
        <w:rPr>
          <w:spacing w:val="-3"/>
        </w:rPr>
        <w:t xml:space="preserve"> </w:t>
      </w:r>
      <w:r>
        <w:t>желудочек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0,23</w:t>
      </w:r>
      <w:r>
        <w:rPr>
          <w:spacing w:val="-3"/>
        </w:rPr>
        <w:t xml:space="preserve"> </w:t>
      </w:r>
      <w:r>
        <w:t>см,</w:t>
      </w:r>
      <w:r>
        <w:rPr>
          <w:spacing w:val="-3"/>
        </w:rPr>
        <w:t xml:space="preserve"> </w:t>
      </w:r>
      <w:r>
        <w:t>левое</w:t>
      </w:r>
      <w:r>
        <w:rPr>
          <w:spacing w:val="-3"/>
        </w:rPr>
        <w:t xml:space="preserve"> </w:t>
      </w:r>
      <w:r>
        <w:t>пред- сердие (ЛП) на 0,35 см. Дистанция теста 6-минутной ходьбы снизилась на 21,48 метра. Изменения происходили на фоне более</w:t>
      </w:r>
      <w:r>
        <w:rPr>
          <w:spacing w:val="-1"/>
        </w:rPr>
        <w:t xml:space="preserve"> </w:t>
      </w:r>
      <w:r>
        <w:t>высокой дневной ЧСС у пациентов с</w:t>
      </w:r>
      <w:r>
        <w:rPr>
          <w:spacing w:val="-1"/>
        </w:rPr>
        <w:t xml:space="preserve"> </w:t>
      </w:r>
      <w:r>
        <w:t>ФП</w:t>
      </w:r>
      <w:r>
        <w:rPr>
          <w:spacing w:val="-20"/>
        </w:rPr>
        <w:t xml:space="preserve"> </w:t>
      </w:r>
      <w:r>
        <w:t>—</w:t>
      </w:r>
      <w:r>
        <w:rPr>
          <w:spacing w:val="-20"/>
        </w:rPr>
        <w:t xml:space="preserve"> </w:t>
      </w:r>
      <w:r>
        <w:t>на 6 ударов в минуту.</w:t>
      </w:r>
    </w:p>
    <w:p w:rsidR="00B76B93" w:rsidRDefault="00B76B93" w:rsidP="00B76B93">
      <w:r>
        <w:rPr>
          <w:rFonts w:ascii="DINPro-Bold" w:hAnsi="DINPro-Bold"/>
          <w:b/>
        </w:rPr>
        <w:t xml:space="preserve">Заключение. </w:t>
      </w:r>
      <w:r>
        <w:t xml:space="preserve">Перманентная ФП у пациентов с ХРБС влияет на показатели </w:t>
      </w:r>
      <w:r>
        <w:rPr>
          <w:spacing w:val="-3"/>
        </w:rPr>
        <w:t xml:space="preserve">Эхо-КГ, </w:t>
      </w:r>
      <w:r>
        <w:t xml:space="preserve">выражающееся в большей </w:t>
      </w:r>
      <w:r>
        <w:rPr>
          <w:spacing w:val="-3"/>
        </w:rPr>
        <w:t>дилата</w:t>
      </w:r>
      <w:r>
        <w:t>ции полостей сердца (в сравнении с исследуемыми с СР) и прогрессировании митрального стеноза, а также снижается дистанция теста 6-минутной ходьбы. Значимого влияния в течении 5-летнего наблюдения на показатели качества жизни и спирометрии не</w:t>
      </w:r>
      <w:r>
        <w:rPr>
          <w:spacing w:val="-1"/>
        </w:rPr>
        <w:t xml:space="preserve"> </w:t>
      </w:r>
      <w:r>
        <w:t>получено.</w:t>
      </w:r>
    </w:p>
    <w:p w:rsidR="00B76B93" w:rsidRDefault="00B76B93" w:rsidP="00B76B93">
      <w:r>
        <w:rPr>
          <w:rFonts w:ascii="DINPro-Bold" w:hAnsi="DINPro-Bold"/>
          <w:b/>
        </w:rPr>
        <w:t xml:space="preserve">Ключевые слова: </w:t>
      </w:r>
      <w:r>
        <w:t>хроническая ревматическая болезнь сердца, фибрилляция предсердий, митральный стеноз.</w:t>
      </w:r>
    </w:p>
    <w:p w:rsidR="0074257C" w:rsidRPr="00B76B93" w:rsidRDefault="0074257C" w:rsidP="00B76B93"/>
    <w:sectPr w:rsidR="0074257C" w:rsidRPr="00B7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altName w:val="DINPro"/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Bold">
    <w:altName w:val="DINPro-Bold"/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9"/>
    <w:rsid w:val="004C0FDF"/>
    <w:rsid w:val="0074257C"/>
    <w:rsid w:val="00833809"/>
    <w:rsid w:val="00B76B93"/>
    <w:rsid w:val="00F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24D1F"/>
  <w15:chartTrackingRefBased/>
  <w15:docId w15:val="{2281F692-BE23-4CE4-B2DD-E1B4F2DE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6E9"/>
    <w:pPr>
      <w:widowControl w:val="0"/>
      <w:autoSpaceDE w:val="0"/>
      <w:autoSpaceDN w:val="0"/>
      <w:spacing w:after="0" w:line="240" w:lineRule="auto"/>
    </w:pPr>
    <w:rPr>
      <w:rFonts w:ascii="DINPro" w:eastAsia="DINPro" w:hAnsi="DINPro" w:cs="DINPro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2020-02-13T07:19:00Z</dcterms:created>
  <dcterms:modified xsi:type="dcterms:W3CDTF">2020-02-13T07:19:00Z</dcterms:modified>
</cp:coreProperties>
</file>